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62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51"/>
        <w:gridCol w:w="7471"/>
      </w:tblGrid>
      <w:tr w:rsidR="00115CE1" w:rsidTr="00115CE1">
        <w:trPr>
          <w:cantSplit/>
        </w:trPr>
        <w:tc>
          <w:tcPr>
            <w:tcW w:w="1651" w:type="dxa"/>
          </w:tcPr>
          <w:p w:rsidR="00115CE1" w:rsidRDefault="00115C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86677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CE1" w:rsidRDefault="0011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1" w:type="dxa"/>
          </w:tcPr>
          <w:p w:rsidR="00115CE1" w:rsidRDefault="00115C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5CE1" w:rsidRDefault="00115C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COMUNE DI PORTO MANTOVANO</w:t>
            </w:r>
          </w:p>
          <w:p w:rsidR="00115CE1" w:rsidRDefault="00115C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PROVINCIA DI MANTOVA</w:t>
            </w:r>
          </w:p>
        </w:tc>
      </w:tr>
    </w:tbl>
    <w:p w:rsidR="00621EEB" w:rsidRDefault="00621EEB" w:rsidP="00621EEB">
      <w:pPr>
        <w:jc w:val="both"/>
        <w:rPr>
          <w:rFonts w:ascii="Times New Roman" w:hAnsi="Times New Roman"/>
          <w:b/>
          <w:sz w:val="24"/>
          <w:szCs w:val="24"/>
        </w:rPr>
      </w:pPr>
    </w:p>
    <w:p w:rsidR="00115CE1" w:rsidRPr="000A24FF" w:rsidRDefault="00115CE1" w:rsidP="00621E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CONVENZIONE CON ASSOCIAZIONE “</w:t>
      </w:r>
      <w:r w:rsidR="00621EEB">
        <w:rPr>
          <w:rFonts w:ascii="Times New Roman" w:hAnsi="Times New Roman"/>
          <w:b/>
          <w:sz w:val="24"/>
          <w:szCs w:val="24"/>
        </w:rPr>
        <w:t>A.U.S.E.R- “Auser Insieme Centro di Solidarietà Sociale Onlus”</w:t>
      </w:r>
      <w:r w:rsidR="009F03E6" w:rsidRPr="009F03E6">
        <w:rPr>
          <w:rFonts w:ascii="Times New Roman" w:hAnsi="Times New Roman"/>
          <w:b/>
          <w:i/>
          <w:sz w:val="24"/>
          <w:szCs w:val="24"/>
        </w:rPr>
        <w:t>”</w:t>
      </w:r>
      <w:r w:rsidR="000A24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PER LA GESTIONE DEL CENTRO </w:t>
      </w:r>
      <w:r w:rsidR="00424BA6">
        <w:rPr>
          <w:rFonts w:ascii="Times New Roman" w:hAnsi="Times New Roman"/>
          <w:b/>
          <w:i/>
          <w:sz w:val="24"/>
          <w:szCs w:val="24"/>
        </w:rPr>
        <w:t xml:space="preserve">SITO IN </w:t>
      </w:r>
      <w:r>
        <w:rPr>
          <w:rFonts w:ascii="Times New Roman" w:hAnsi="Times New Roman"/>
          <w:b/>
          <w:i/>
          <w:sz w:val="24"/>
          <w:szCs w:val="24"/>
        </w:rPr>
        <w:t xml:space="preserve">VIA </w:t>
      </w:r>
      <w:r w:rsidR="00621EEB">
        <w:rPr>
          <w:rFonts w:ascii="Times New Roman" w:hAnsi="Times New Roman"/>
          <w:b/>
          <w:i/>
          <w:sz w:val="24"/>
          <w:szCs w:val="24"/>
        </w:rPr>
        <w:t>GRAMSCI 1</w:t>
      </w:r>
    </w:p>
    <w:p w:rsidR="00115CE1" w:rsidRDefault="00115CE1" w:rsidP="00D51D26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15CE1" w:rsidRDefault="00115CE1" w:rsidP="00115CE1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115CE1" w:rsidRDefault="00115CE1" w:rsidP="00115CE1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</w:t>
      </w:r>
    </w:p>
    <w:p w:rsidR="00115CE1" w:rsidRDefault="00115CE1" w:rsidP="00115CE1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Comune di Po</w:t>
      </w:r>
      <w:r w:rsidR="00F91635">
        <w:rPr>
          <w:rFonts w:ascii="Times New Roman" w:hAnsi="Times New Roman"/>
          <w:sz w:val="24"/>
          <w:szCs w:val="24"/>
        </w:rPr>
        <w:t>rto Mantovano rappresentato dal Responsabile dell’Area Servizi alla Persona</w:t>
      </w:r>
      <w:r w:rsidR="00424BA6">
        <w:rPr>
          <w:rFonts w:ascii="Times New Roman" w:hAnsi="Times New Roman"/>
          <w:sz w:val="24"/>
          <w:szCs w:val="24"/>
        </w:rPr>
        <w:t xml:space="preserve"> che agisce </w:t>
      </w:r>
      <w:r>
        <w:rPr>
          <w:rFonts w:ascii="Times New Roman" w:hAnsi="Times New Roman"/>
          <w:sz w:val="24"/>
          <w:szCs w:val="24"/>
        </w:rPr>
        <w:t>in nome, per conto e nell’interesse dell’Amministrazione Comunale i</w:t>
      </w:r>
      <w:r w:rsidR="00424BA6">
        <w:rPr>
          <w:rFonts w:ascii="Times New Roman" w:hAnsi="Times New Roman"/>
          <w:sz w:val="24"/>
          <w:szCs w:val="24"/>
        </w:rPr>
        <w:t>n qualità di Responsabile dell’Area S</w:t>
      </w:r>
      <w:r>
        <w:rPr>
          <w:rFonts w:ascii="Times New Roman" w:hAnsi="Times New Roman"/>
          <w:sz w:val="24"/>
          <w:szCs w:val="24"/>
        </w:rPr>
        <w:t xml:space="preserve">ervizi alla Persona; </w:t>
      </w:r>
    </w:p>
    <w:p w:rsidR="0042144E" w:rsidRDefault="00115CE1" w:rsidP="00115CE1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2144E">
        <w:rPr>
          <w:rFonts w:ascii="Times New Roman" w:hAnsi="Times New Roman"/>
          <w:b/>
          <w:sz w:val="24"/>
          <w:szCs w:val="24"/>
        </w:rPr>
        <w:t>E</w:t>
      </w:r>
    </w:p>
    <w:p w:rsidR="00621EEB" w:rsidRPr="0042144E" w:rsidRDefault="00621EEB" w:rsidP="00115CE1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621EEB" w:rsidRDefault="00621EEB" w:rsidP="00621EE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l’Associazione “</w:t>
      </w:r>
      <w:r w:rsidRPr="00621EEB">
        <w:rPr>
          <w:rFonts w:ascii="Times New Roman" w:hAnsi="Times New Roman"/>
          <w:sz w:val="24"/>
          <w:szCs w:val="24"/>
        </w:rPr>
        <w:t>Auser Insieme Centro di Solidarietà Sociale Onlus”</w:t>
      </w:r>
      <w:r>
        <w:rPr>
          <w:rFonts w:ascii="Times New Roman" w:hAnsi="Times New Roman"/>
          <w:sz w:val="24"/>
          <w:szCs w:val="24"/>
        </w:rPr>
        <w:t xml:space="preserve">, di </w:t>
      </w:r>
      <w:r w:rsidRPr="00621EE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eguito denominata “Associazione”, nella persona del suo Presidente Signora Bruna Ferrarini, nata a Mantova il 15/03/1964 e residente a Mantova in via Gobetti, 7 la quale agisce in nome e per conto dell’associazione;</w:t>
      </w:r>
    </w:p>
    <w:p w:rsidR="00115CE1" w:rsidRDefault="00621EEB" w:rsidP="00621EEB">
      <w:pPr>
        <w:pStyle w:val="NormaleWeb"/>
        <w:spacing w:after="0"/>
        <w:jc w:val="both"/>
        <w:rPr>
          <w:b/>
        </w:rPr>
      </w:pPr>
      <w:r>
        <w:t>.</w:t>
      </w:r>
    </w:p>
    <w:p w:rsidR="00115CE1" w:rsidRDefault="00115CE1" w:rsidP="00115C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PREMESSO CHE</w:t>
      </w:r>
    </w:p>
    <w:p w:rsidR="00115CE1" w:rsidRDefault="00115CE1" w:rsidP="00115C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0B63" w:rsidRDefault="00590B63" w:rsidP="00590B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PREMESSA</w:t>
      </w:r>
    </w:p>
    <w:p w:rsidR="00590B63" w:rsidRDefault="00590B63" w:rsidP="00590B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0B63" w:rsidRPr="00590B63" w:rsidRDefault="00590B63" w:rsidP="00590B63">
      <w:pPr>
        <w:jc w:val="both"/>
        <w:rPr>
          <w:rFonts w:ascii="Times New Roman" w:hAnsi="Times New Roman"/>
          <w:sz w:val="24"/>
          <w:szCs w:val="24"/>
        </w:rPr>
      </w:pPr>
      <w:r w:rsidRPr="00590B63">
        <w:rPr>
          <w:rFonts w:ascii="Times New Roman" w:hAnsi="Times New Roman"/>
          <w:sz w:val="24"/>
          <w:szCs w:val="24"/>
        </w:rPr>
        <w:t xml:space="preserve">-la delibera di Giunta comunale n.    in data     con oggetto: “CONVENZIONE CON ASSOCIAZIONE </w:t>
      </w:r>
      <w:r w:rsidRPr="00590B63">
        <w:rPr>
          <w:rFonts w:ascii="Times New Roman" w:hAnsi="Times New Roman"/>
          <w:sz w:val="24"/>
          <w:szCs w:val="24"/>
        </w:rPr>
        <w:t xml:space="preserve">AUSER INSIEME CENTRO DI SOLIDARIETÀ SOCIALE ONLUS </w:t>
      </w:r>
      <w:r w:rsidRPr="00590B63">
        <w:rPr>
          <w:rFonts w:ascii="Times New Roman" w:hAnsi="Times New Roman"/>
          <w:sz w:val="24"/>
          <w:szCs w:val="24"/>
        </w:rPr>
        <w:t xml:space="preserve">PER LA GESTIONE DEL CENTRO SITO IN VIA GRAMSCI 1. </w:t>
      </w:r>
      <w:proofErr w:type="gramStart"/>
      <w:r w:rsidRPr="00590B63">
        <w:rPr>
          <w:rFonts w:ascii="Times New Roman" w:hAnsi="Times New Roman"/>
          <w:sz w:val="24"/>
          <w:szCs w:val="24"/>
        </w:rPr>
        <w:t>PROROGA  AL</w:t>
      </w:r>
      <w:proofErr w:type="gramEnd"/>
      <w:r w:rsidRPr="00590B63">
        <w:rPr>
          <w:rFonts w:ascii="Times New Roman" w:hAnsi="Times New Roman"/>
          <w:sz w:val="24"/>
          <w:szCs w:val="24"/>
        </w:rPr>
        <w:t xml:space="preserve">  30/06/2023”;</w:t>
      </w:r>
    </w:p>
    <w:p w:rsidR="00590B63" w:rsidRDefault="00590B63" w:rsidP="00590B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-le modalità di gestione sono definite dai seguenti articoli, che costituiscono parte integrante della convenzione stessa.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1 - Utilizzo della struttura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621EEB" w:rsidRDefault="00621EEB" w:rsidP="00621E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centro è una struttura con finalità so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ciali, ricreative e culturali, aperta agli anziani del territorio, ma non solo.</w:t>
      </w:r>
    </w:p>
    <w:p w:rsidR="00621EEB" w:rsidRDefault="00621EEB" w:rsidP="00621E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centro si impegna a collaborare con l’Amministrazione comunale nell’ambito delle attività sopra citate. </w:t>
      </w:r>
    </w:p>
    <w:p w:rsidR="00621EEB" w:rsidRDefault="00621EEB" w:rsidP="00621E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Centro presenterà all’Amministrazione comunale un programma annuale delle iniziative che intende realizzare, evitando sovrapposizioni con attività organizzate dall’Ente.</w:t>
      </w:r>
    </w:p>
    <w:p w:rsidR="00621EEB" w:rsidRDefault="00621EEB" w:rsidP="00621E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consiglio direttivo e i responsabili dell’associazione si impegnano </w:t>
      </w:r>
      <w:proofErr w:type="spellStart"/>
      <w:r>
        <w:rPr>
          <w:rFonts w:ascii="Times New Roman" w:hAnsi="Times New Roman"/>
          <w:sz w:val="24"/>
          <w:szCs w:val="24"/>
        </w:rPr>
        <w:t>affinch</w:t>
      </w:r>
      <w:r w:rsidR="003F6676">
        <w:rPr>
          <w:rFonts w:ascii="Times New Roman" w:hAnsi="Times New Roman"/>
          <w:sz w:val="24"/>
          <w:szCs w:val="24"/>
        </w:rPr>
        <w:t>è</w:t>
      </w:r>
      <w:proofErr w:type="spellEnd"/>
      <w:r>
        <w:rPr>
          <w:rFonts w:ascii="Times New Roman" w:hAnsi="Times New Roman"/>
          <w:sz w:val="24"/>
          <w:szCs w:val="24"/>
        </w:rPr>
        <w:t xml:space="preserve"> il Centro espleti </w:t>
      </w:r>
      <w:r w:rsidR="00F3027B">
        <w:rPr>
          <w:rFonts w:ascii="Times New Roman" w:hAnsi="Times New Roman"/>
          <w:sz w:val="24"/>
          <w:szCs w:val="24"/>
        </w:rPr>
        <w:t xml:space="preserve">interamente </w:t>
      </w:r>
      <w:r>
        <w:rPr>
          <w:rFonts w:ascii="Times New Roman" w:hAnsi="Times New Roman"/>
          <w:sz w:val="24"/>
          <w:szCs w:val="24"/>
        </w:rPr>
        <w:t>le funzioni e i servizi di cui al precedente articolo e non diventi un semplice bar.</w:t>
      </w:r>
    </w:p>
    <w:p w:rsidR="00621EEB" w:rsidRDefault="00621EEB" w:rsidP="00D8748C">
      <w:pPr>
        <w:jc w:val="both"/>
        <w:rPr>
          <w:rFonts w:ascii="Times New Roman" w:hAnsi="Times New Roman"/>
          <w:sz w:val="24"/>
          <w:szCs w:val="24"/>
        </w:rPr>
      </w:pPr>
    </w:p>
    <w:p w:rsidR="003F6676" w:rsidRDefault="003F6676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2 – Prezzi bar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4214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prezzi praticati dal Centro per il servizio bar (bevande ed alimen</w:t>
      </w:r>
      <w:r w:rsidR="00D8748C">
        <w:rPr>
          <w:rFonts w:ascii="Times New Roman" w:hAnsi="Times New Roman"/>
          <w:sz w:val="24"/>
          <w:szCs w:val="24"/>
        </w:rPr>
        <w:t xml:space="preserve">ti), dovranno essere comunicati </w:t>
      </w:r>
      <w:r>
        <w:rPr>
          <w:rFonts w:ascii="Times New Roman" w:hAnsi="Times New Roman"/>
          <w:sz w:val="24"/>
          <w:szCs w:val="24"/>
        </w:rPr>
        <w:t>all’Amministrazione Comunale, e dovranno essere inferiori ai prezzi praticati dai bar commerciali.</w:t>
      </w:r>
    </w:p>
    <w:p w:rsidR="00115CE1" w:rsidRDefault="00115CE1" w:rsidP="0042144E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3F6676" w:rsidRDefault="003F6676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3F6676" w:rsidRDefault="003F6676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3F6676" w:rsidRDefault="003F6676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3 - Orari di apertura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D51D26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Gli orari di apertura </w:t>
      </w:r>
      <w:r w:rsidR="00115CE1">
        <w:rPr>
          <w:rFonts w:ascii="Times New Roman" w:hAnsi="Times New Roman"/>
          <w:sz w:val="24"/>
          <w:szCs w:val="24"/>
        </w:rPr>
        <w:t xml:space="preserve">del </w:t>
      </w:r>
      <w:r w:rsidR="005F013A">
        <w:rPr>
          <w:rFonts w:ascii="Times New Roman" w:hAnsi="Times New Roman"/>
          <w:sz w:val="24"/>
          <w:szCs w:val="24"/>
        </w:rPr>
        <w:t xml:space="preserve">Centro </w:t>
      </w:r>
      <w:r w:rsidR="00115CE1">
        <w:rPr>
          <w:rFonts w:ascii="Times New Roman" w:hAnsi="Times New Roman"/>
          <w:sz w:val="24"/>
          <w:szCs w:val="24"/>
        </w:rPr>
        <w:t xml:space="preserve">verranno comunicati all’Amministrazione Comunale ed esposti al pubblico. 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L’apertura non dovrà c</w:t>
      </w:r>
      <w:r w:rsidR="00424BA6">
        <w:rPr>
          <w:rFonts w:ascii="Times New Roman" w:hAnsi="Times New Roman"/>
          <w:sz w:val="24"/>
          <w:szCs w:val="24"/>
        </w:rPr>
        <w:t>omunque superare le n</w:t>
      </w:r>
      <w:r w:rsidR="00D8748C">
        <w:rPr>
          <w:rFonts w:ascii="Times New Roman" w:hAnsi="Times New Roman"/>
          <w:sz w:val="24"/>
          <w:szCs w:val="24"/>
        </w:rPr>
        <w:t>r</w:t>
      </w:r>
      <w:r w:rsidR="00424BA6">
        <w:rPr>
          <w:rFonts w:ascii="Times New Roman" w:hAnsi="Times New Roman"/>
          <w:sz w:val="24"/>
          <w:szCs w:val="24"/>
        </w:rPr>
        <w:t>. 8 (otto)</w:t>
      </w:r>
      <w:r>
        <w:rPr>
          <w:rFonts w:ascii="Times New Roman" w:hAnsi="Times New Roman"/>
          <w:sz w:val="24"/>
          <w:szCs w:val="24"/>
        </w:rPr>
        <w:t xml:space="preserve"> ore giornaliere, salvo casi eccezionali che saranno di volta in volta annunciati.</w:t>
      </w:r>
    </w:p>
    <w:p w:rsidR="00D8748C" w:rsidRDefault="00D8748C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4 - Arredi e attrezzature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5F013A" w:rsidRDefault="005F013A" w:rsidP="005F01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Gli arredi interni (banco bar, tavolini, sedie, attaccapanni, tendaggi, eccetera) e tutte le attrezzature di all’elenco allegato di proprietà comunale, dovranno essere utilizzati con cura.</w:t>
      </w:r>
    </w:p>
    <w:p w:rsidR="005F013A" w:rsidRDefault="005F013A" w:rsidP="005F013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E’a</w:t>
      </w:r>
      <w:proofErr w:type="spellEnd"/>
      <w:r>
        <w:rPr>
          <w:rFonts w:ascii="Times New Roman" w:hAnsi="Times New Roman"/>
          <w:sz w:val="24"/>
          <w:szCs w:val="24"/>
        </w:rPr>
        <w:t xml:space="preserve"> carico </w:t>
      </w:r>
      <w:proofErr w:type="gramStart"/>
      <w:r w:rsidR="00FC78C0">
        <w:rPr>
          <w:rFonts w:ascii="Times New Roman" w:hAnsi="Times New Roman"/>
          <w:sz w:val="24"/>
          <w:szCs w:val="24"/>
        </w:rPr>
        <w:t xml:space="preserve">dell’Associazione </w:t>
      </w:r>
      <w:r>
        <w:rPr>
          <w:rFonts w:ascii="Times New Roman" w:hAnsi="Times New Roman"/>
          <w:sz w:val="24"/>
          <w:szCs w:val="24"/>
        </w:rPr>
        <w:t xml:space="preserve"> la</w:t>
      </w:r>
      <w:proofErr w:type="gramEnd"/>
      <w:r>
        <w:rPr>
          <w:rFonts w:ascii="Times New Roman" w:hAnsi="Times New Roman"/>
          <w:sz w:val="24"/>
          <w:szCs w:val="24"/>
        </w:rPr>
        <w:t xml:space="preserve"> manutenzione ordinaria degli arredi e delle attrezzature. 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5 – Gestione economica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gestione economica </w:t>
      </w:r>
      <w:r w:rsidR="005F013A">
        <w:rPr>
          <w:rFonts w:ascii="Times New Roman" w:hAnsi="Times New Roman"/>
          <w:sz w:val="24"/>
          <w:szCs w:val="24"/>
        </w:rPr>
        <w:t xml:space="preserve">del centro sociale </w:t>
      </w:r>
      <w:r>
        <w:rPr>
          <w:rFonts w:ascii="Times New Roman" w:hAnsi="Times New Roman"/>
          <w:sz w:val="24"/>
          <w:szCs w:val="24"/>
        </w:rPr>
        <w:t>è di competenza esclusiva dell’Associazione.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6 – Oneri a carico dell’Associazione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Sono a carico dell’associazione che gestisce il Centro sociale: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costi derivanti dal funzionamento ordinario del Centro, intendendo con tale dizione: telefono, pulizie, acquisto prodotti, attrezzature ed arredi.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manutenzione ordinaria della struttura e degli impianti a servizio della struttura;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nomina di un “Terzo responsabile per la conduzione e la gestione dell’impianto di riscaldamento e di produzione dell’acqua sanitaria e la cura degli adempimenti di legge previsti, assumendosene in proprio le relative responsabilità;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manutenzione ordinaria dell’impianto di condizionamento (attivazione, disinfezione, pulizia filtri, ecc.);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mantenimento in efficienza e i controlli periodici previsti dalla normativa vigente dei mezzi antincendio a servizio della struttura (estintori a polvere e manichette UNI45);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L’osservanza degli obblighi connessi con l’esercizio dell’attività e il rispetto delle limitazioni, divieti e condizioni indicate nel verbale della Commissione Comunale Vigilanza Locali Pubblico Spettacolo e nel certificato di Prevenzione Incendi, che è stato rilasciato per l’utilizzo della struttura quale locale di pubblico spettacolo, in data 28/02/2007 n. 12489;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Tutte le spese derivanti dall’organizzazione e dalla realizzazione </w:t>
      </w:r>
      <w:r w:rsidR="000035EA">
        <w:rPr>
          <w:rFonts w:ascii="Times New Roman" w:hAnsi="Times New Roman"/>
          <w:sz w:val="24"/>
          <w:szCs w:val="24"/>
        </w:rPr>
        <w:t>di iniziative, manifestazioni o</w:t>
      </w:r>
      <w:r>
        <w:rPr>
          <w:rFonts w:ascii="Times New Roman" w:hAnsi="Times New Roman"/>
          <w:sz w:val="24"/>
          <w:szCs w:val="24"/>
        </w:rPr>
        <w:t xml:space="preserve"> altre attività, comunque in linea con le finalità socio – ricreative del Centro stesso;</w:t>
      </w:r>
    </w:p>
    <w:p w:rsidR="00115CE1" w:rsidRDefault="00115CE1" w:rsidP="00115CE1">
      <w:pPr>
        <w:numPr>
          <w:ilvl w:val="0"/>
          <w:numId w:val="1"/>
        </w:numPr>
        <w:tabs>
          <w:tab w:val="clear" w:pos="360"/>
          <w:tab w:val="num" w:pos="644"/>
        </w:tabs>
        <w:suppressAutoHyphens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spese per la stipula di Polizze assicurative per i volontari operanti nel Centro.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F64E6F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L’associazione dovrà corrispondere al Comune una somma pari al 20 % delle spese sostenute dall'Ente per il pagamento delle utenze di acqua, luce, e combustibile per il riscaldamento, </w:t>
      </w:r>
      <w:bookmarkStart w:id="1" w:name="_Hlk123056143"/>
      <w:r w:rsidR="00F64E6F">
        <w:rPr>
          <w:rFonts w:ascii="Times New Roman" w:hAnsi="Times New Roman"/>
          <w:sz w:val="24"/>
          <w:szCs w:val="24"/>
        </w:rPr>
        <w:t>riferite al periodo di assegnazione dei locali.</w:t>
      </w:r>
    </w:p>
    <w:bookmarkEnd w:id="1"/>
    <w:p w:rsidR="00115CE1" w:rsidRDefault="00F64E6F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L'associazione è tenuta a comunicare all’Amministrazione comunale, concordando preventivamente con essa, ogni lavoro di modifica, miglioria o innovazione dell’edificio.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Restano a carico del Comune le spese per la manutenzione straordinaria dell’immobile. L’associazione si impegna a segnalare tempestivamente per iscritto, i guasti e le anomalie riscontrate durante l’utilizzo dell’edificio e dei relativi impianti.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5F013A" w:rsidRDefault="005F013A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7 – Responsabilità</w:t>
      </w:r>
    </w:p>
    <w:p w:rsidR="005F013A" w:rsidRDefault="005F013A" w:rsidP="00D8748C">
      <w:pPr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Comune di Porto Mantovano è esonerato da qualsiasi responsabilità inerente alla gestione e/o alla conduzione del </w:t>
      </w:r>
      <w:r w:rsidR="000035EA" w:rsidRPr="001E199C">
        <w:rPr>
          <w:rFonts w:ascii="Times New Roman" w:hAnsi="Times New Roman"/>
          <w:sz w:val="24"/>
          <w:szCs w:val="24"/>
        </w:rPr>
        <w:t>Centro</w:t>
      </w:r>
      <w:r w:rsidRPr="001E199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nonché di tutte le attività che l’Associazione, nell’ambito della propria autonomia, riterrà di organizzare.</w:t>
      </w:r>
    </w:p>
    <w:p w:rsidR="00115CE1" w:rsidRDefault="00115CE1" w:rsidP="001427EF">
      <w:pPr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8 – Durata della convenzione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E199C" w:rsidRDefault="001E199C" w:rsidP="001E199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presente convenzione ha validità fino al </w:t>
      </w:r>
      <w:r w:rsidR="006E7C81">
        <w:rPr>
          <w:rFonts w:ascii="Times New Roman" w:hAnsi="Times New Roman"/>
          <w:sz w:val="24"/>
          <w:szCs w:val="24"/>
        </w:rPr>
        <w:t>30/06/2023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E199C" w:rsidRDefault="001E199C" w:rsidP="001E199C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E199C" w:rsidRDefault="001E199C" w:rsidP="001E19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è previsto il tacito rinnovo e l’eventuale disdetta dovrà essere comunicata entro 6 (sei) mesi.</w:t>
      </w:r>
    </w:p>
    <w:p w:rsidR="001E199C" w:rsidRDefault="001E199C" w:rsidP="001E199C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E199C" w:rsidRDefault="001E199C" w:rsidP="005F013A">
      <w:pPr>
        <w:rPr>
          <w:rFonts w:ascii="Times New Roman" w:hAnsi="Times New Roman"/>
          <w:sz w:val="24"/>
          <w:szCs w:val="24"/>
        </w:rPr>
      </w:pPr>
    </w:p>
    <w:p w:rsidR="00115CE1" w:rsidRDefault="001E199C" w:rsidP="001E19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15CE1">
        <w:rPr>
          <w:rFonts w:ascii="Times New Roman" w:hAnsi="Times New Roman"/>
          <w:b/>
          <w:sz w:val="24"/>
          <w:szCs w:val="24"/>
        </w:rPr>
        <w:t>ART. 9 – Canone per l’uso della struttura</w:t>
      </w:r>
    </w:p>
    <w:p w:rsidR="001E199C" w:rsidRDefault="001E199C" w:rsidP="001E199C">
      <w:pPr>
        <w:pStyle w:val="NormaleWeb"/>
        <w:rPr>
          <w:color w:val="000000"/>
        </w:rPr>
      </w:pPr>
      <w:r>
        <w:t xml:space="preserve">L’associazione corrisponderà alla Amministrazione comunale un contributo </w:t>
      </w:r>
      <w:r w:rsidR="006E7C81">
        <w:t>seme</w:t>
      </w:r>
      <w:r w:rsidR="00F64E6F">
        <w:t>str</w:t>
      </w:r>
      <w:r w:rsidR="006E7C81">
        <w:t>ale</w:t>
      </w:r>
      <w:r>
        <w:t xml:space="preserve"> per l’uso della </w:t>
      </w:r>
      <w:r w:rsidR="009E3AE7">
        <w:t xml:space="preserve">struttura </w:t>
      </w:r>
      <w:r>
        <w:t xml:space="preserve">determinato in Euro € </w:t>
      </w:r>
      <w:r w:rsidR="006E7C81">
        <w:t>1.250</w:t>
      </w:r>
      <w:r>
        <w:t xml:space="preserve">,00 </w:t>
      </w:r>
      <w:r>
        <w:rPr>
          <w:color w:val="000000"/>
        </w:rPr>
        <w:t>fuori campo Iva (art. 4 DPR 633/72).</w:t>
      </w:r>
    </w:p>
    <w:p w:rsidR="001E199C" w:rsidRDefault="001E199C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10 – Util</w:t>
      </w:r>
      <w:r w:rsidR="00424BA6">
        <w:rPr>
          <w:rFonts w:ascii="Times New Roman" w:hAnsi="Times New Roman"/>
          <w:b/>
          <w:sz w:val="24"/>
          <w:szCs w:val="24"/>
        </w:rPr>
        <w:t xml:space="preserve">izzo </w:t>
      </w:r>
      <w:r>
        <w:rPr>
          <w:rFonts w:ascii="Times New Roman" w:hAnsi="Times New Roman"/>
          <w:b/>
          <w:sz w:val="24"/>
          <w:szCs w:val="24"/>
        </w:rPr>
        <w:t>temporaneo della struttura per altre finalità</w:t>
      </w:r>
    </w:p>
    <w:p w:rsidR="00115CE1" w:rsidRDefault="00115CE1" w:rsidP="00115CE1">
      <w:pPr>
        <w:ind w:left="284"/>
        <w:rPr>
          <w:rFonts w:ascii="Times New Roman" w:hAnsi="Times New Roman"/>
          <w:b/>
          <w:sz w:val="24"/>
          <w:szCs w:val="24"/>
        </w:rPr>
      </w:pP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Presso il Centro potranno tenersi attività organizzate dal Comune o da altre Associ</w:t>
      </w:r>
      <w:r w:rsidR="00A40639">
        <w:rPr>
          <w:rFonts w:ascii="Times New Roman" w:hAnsi="Times New Roman"/>
          <w:sz w:val="24"/>
          <w:szCs w:val="24"/>
        </w:rPr>
        <w:t xml:space="preserve">azioni, previo accordo scritto </w:t>
      </w:r>
      <w:r>
        <w:rPr>
          <w:rFonts w:ascii="Times New Roman" w:hAnsi="Times New Roman"/>
          <w:sz w:val="24"/>
          <w:szCs w:val="24"/>
        </w:rPr>
        <w:t xml:space="preserve">tra l’Amministrazione Comunale, </w:t>
      </w:r>
      <w:r w:rsidR="001E199C">
        <w:rPr>
          <w:rFonts w:ascii="Times New Roman" w:hAnsi="Times New Roman"/>
          <w:sz w:val="24"/>
          <w:szCs w:val="24"/>
        </w:rPr>
        <w:t>l’Associazione Auser Insieme</w:t>
      </w:r>
      <w:r w:rsidR="005B58B5">
        <w:rPr>
          <w:rFonts w:ascii="Times New Roman" w:hAnsi="Times New Roman"/>
          <w:sz w:val="24"/>
          <w:szCs w:val="24"/>
        </w:rPr>
        <w:t xml:space="preserve"> </w:t>
      </w:r>
      <w:r w:rsidR="00D67004">
        <w:rPr>
          <w:rFonts w:ascii="Times New Roman" w:hAnsi="Times New Roman"/>
          <w:sz w:val="24"/>
          <w:szCs w:val="24"/>
        </w:rPr>
        <w:t>e l’</w:t>
      </w:r>
      <w:r>
        <w:rPr>
          <w:rFonts w:ascii="Times New Roman" w:hAnsi="Times New Roman"/>
          <w:sz w:val="24"/>
          <w:szCs w:val="24"/>
        </w:rPr>
        <w:t xml:space="preserve">Associazione ospite. 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Tali eventi, da tenersi nella misura m</w:t>
      </w:r>
      <w:r w:rsidR="00D67004">
        <w:rPr>
          <w:rFonts w:ascii="Times New Roman" w:hAnsi="Times New Roman"/>
          <w:sz w:val="24"/>
          <w:szCs w:val="24"/>
        </w:rPr>
        <w:t xml:space="preserve">assima di </w:t>
      </w:r>
      <w:r w:rsidR="006E7C81">
        <w:rPr>
          <w:rFonts w:ascii="Times New Roman" w:hAnsi="Times New Roman"/>
          <w:sz w:val="24"/>
          <w:szCs w:val="24"/>
        </w:rPr>
        <w:t>5</w:t>
      </w:r>
      <w:r w:rsidR="00D67004">
        <w:rPr>
          <w:rFonts w:ascii="Times New Roman" w:hAnsi="Times New Roman"/>
          <w:sz w:val="24"/>
          <w:szCs w:val="24"/>
        </w:rPr>
        <w:t xml:space="preserve"> (</w:t>
      </w:r>
      <w:r w:rsidR="006E7C81">
        <w:rPr>
          <w:rFonts w:ascii="Times New Roman" w:hAnsi="Times New Roman"/>
          <w:sz w:val="24"/>
          <w:szCs w:val="24"/>
        </w:rPr>
        <w:t>cinque</w:t>
      </w:r>
      <w:r w:rsidR="00D67004">
        <w:rPr>
          <w:rFonts w:ascii="Times New Roman" w:hAnsi="Times New Roman"/>
          <w:sz w:val="24"/>
          <w:szCs w:val="24"/>
        </w:rPr>
        <w:t xml:space="preserve">) </w:t>
      </w:r>
      <w:r w:rsidR="006E7C81">
        <w:rPr>
          <w:rFonts w:ascii="Times New Roman" w:hAnsi="Times New Roman"/>
          <w:sz w:val="24"/>
          <w:szCs w:val="24"/>
        </w:rPr>
        <w:t>a semestre</w:t>
      </w:r>
      <w:r w:rsidR="00D6700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non dovranno ostacolare</w:t>
      </w:r>
      <w:r w:rsidR="005B58B5">
        <w:rPr>
          <w:rFonts w:ascii="Times New Roman" w:hAnsi="Times New Roman"/>
          <w:sz w:val="24"/>
          <w:szCs w:val="24"/>
        </w:rPr>
        <w:t xml:space="preserve"> la normale attività del Centro</w:t>
      </w:r>
      <w:r w:rsidR="00FF5365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si terranno in orari di chiusura del Centro. Dovrà essere nominato un responsabile per ogni evento per la corretta gestione della sede e del sistema d’allarme.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L’Amministrazione comunale dovrà provvedere alla copertura assicurativa di questi eventi.</w:t>
      </w:r>
    </w:p>
    <w:p w:rsidR="00115CE1" w:rsidRDefault="00115CE1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pulizia</w:t>
      </w:r>
      <w:r w:rsidR="001E199C">
        <w:rPr>
          <w:rFonts w:ascii="Times New Roman" w:hAnsi="Times New Roman"/>
          <w:sz w:val="24"/>
          <w:szCs w:val="24"/>
        </w:rPr>
        <w:t xml:space="preserve"> dei locali viene garantita dall’Associazione Auser </w:t>
      </w:r>
      <w:r w:rsidR="00D67004">
        <w:rPr>
          <w:rFonts w:ascii="Times New Roman" w:hAnsi="Times New Roman"/>
          <w:sz w:val="24"/>
          <w:szCs w:val="24"/>
        </w:rPr>
        <w:t xml:space="preserve">tramite l’impresa </w:t>
      </w:r>
      <w:r>
        <w:rPr>
          <w:rFonts w:ascii="Times New Roman" w:hAnsi="Times New Roman"/>
          <w:sz w:val="24"/>
          <w:szCs w:val="24"/>
        </w:rPr>
        <w:t>che ha in appalto il servizio di pulizia del Centro stesso. Il Comune dovrà accordarsi tempestivamente con la ditta per le modalità e i tempi di pulizia.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5CE1" w:rsidRDefault="00115CE1" w:rsidP="00115CE1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D8748C" w:rsidP="00D874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r w:rsidR="00F91635">
        <w:rPr>
          <w:rFonts w:ascii="Times New Roman" w:hAnsi="Times New Roman"/>
          <w:sz w:val="24"/>
          <w:szCs w:val="24"/>
        </w:rPr>
        <w:t xml:space="preserve">Responsabile dell’Area Servizi alla Persona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91635">
        <w:rPr>
          <w:rFonts w:ascii="Times New Roman" w:hAnsi="Times New Roman"/>
          <w:sz w:val="24"/>
          <w:szCs w:val="24"/>
        </w:rPr>
        <w:t xml:space="preserve">Il Presidente </w:t>
      </w:r>
    </w:p>
    <w:p w:rsidR="00115CE1" w:rsidRDefault="00D8748C" w:rsidP="00115CE1">
      <w:pPr>
        <w:spacing w:before="100" w:beforeAutospacing="1" w:after="100" w:afterAutospacing="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_______________________________</w:t>
      </w:r>
    </w:p>
    <w:p w:rsidR="00115CE1" w:rsidRDefault="00115CE1" w:rsidP="00115CE1">
      <w:pPr>
        <w:spacing w:before="100" w:beforeAutospacing="1" w:after="100" w:afterAutospacing="1"/>
        <w:ind w:left="644"/>
        <w:rPr>
          <w:rFonts w:cs="Arial"/>
          <w:sz w:val="18"/>
          <w:szCs w:val="18"/>
        </w:rPr>
      </w:pPr>
    </w:p>
    <w:p w:rsidR="00115CE1" w:rsidRDefault="00115CE1" w:rsidP="00115CE1">
      <w:pPr>
        <w:spacing w:before="100" w:beforeAutospacing="1" w:after="100" w:afterAutospacing="1"/>
        <w:ind w:left="644"/>
        <w:rPr>
          <w:rFonts w:cs="Arial"/>
          <w:sz w:val="18"/>
          <w:szCs w:val="18"/>
        </w:rPr>
      </w:pPr>
    </w:p>
    <w:p w:rsidR="00115CE1" w:rsidRDefault="00115CE1" w:rsidP="00115CE1">
      <w:pPr>
        <w:spacing w:before="100" w:beforeAutospacing="1" w:after="100" w:afterAutospacing="1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:rsidR="00115CE1" w:rsidRDefault="00115CE1" w:rsidP="00115CE1">
      <w:pPr>
        <w:jc w:val="both"/>
        <w:rPr>
          <w:rFonts w:ascii="Times" w:hAnsi="Times"/>
          <w:i/>
        </w:rPr>
      </w:pPr>
      <w:r>
        <w:br w:type="page"/>
      </w:r>
    </w:p>
    <w:p w:rsidR="00115CE1" w:rsidRDefault="00115CE1" w:rsidP="00115CE1">
      <w:pPr>
        <w:spacing w:before="240"/>
      </w:pPr>
    </w:p>
    <w:p w:rsidR="001307F1" w:rsidRDefault="001307F1"/>
    <w:sectPr w:rsidR="001307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1" w15:restartNumberingAfterBreak="0">
    <w:nsid w:val="7BD03633"/>
    <w:multiLevelType w:val="hybridMultilevel"/>
    <w:tmpl w:val="8A8A6182"/>
    <w:lvl w:ilvl="0" w:tplc="5A1658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F09"/>
    <w:rsid w:val="000035EA"/>
    <w:rsid w:val="000A24FF"/>
    <w:rsid w:val="00115CE1"/>
    <w:rsid w:val="001307F1"/>
    <w:rsid w:val="001427EF"/>
    <w:rsid w:val="001D165A"/>
    <w:rsid w:val="001E199C"/>
    <w:rsid w:val="00295061"/>
    <w:rsid w:val="00337152"/>
    <w:rsid w:val="003F6676"/>
    <w:rsid w:val="0042144E"/>
    <w:rsid w:val="00424BA6"/>
    <w:rsid w:val="004566C6"/>
    <w:rsid w:val="004A600F"/>
    <w:rsid w:val="00590B63"/>
    <w:rsid w:val="005B58B5"/>
    <w:rsid w:val="005F013A"/>
    <w:rsid w:val="00621EEB"/>
    <w:rsid w:val="006C359D"/>
    <w:rsid w:val="006D30F7"/>
    <w:rsid w:val="006E7C81"/>
    <w:rsid w:val="00752774"/>
    <w:rsid w:val="00766BED"/>
    <w:rsid w:val="008D6B37"/>
    <w:rsid w:val="00972F09"/>
    <w:rsid w:val="009D00F4"/>
    <w:rsid w:val="009E3AE7"/>
    <w:rsid w:val="009F03E6"/>
    <w:rsid w:val="009F3F10"/>
    <w:rsid w:val="00A40639"/>
    <w:rsid w:val="00B73F6A"/>
    <w:rsid w:val="00C14CF5"/>
    <w:rsid w:val="00D51D26"/>
    <w:rsid w:val="00D67004"/>
    <w:rsid w:val="00D8748C"/>
    <w:rsid w:val="00F3027B"/>
    <w:rsid w:val="00F64E6F"/>
    <w:rsid w:val="00F91635"/>
    <w:rsid w:val="00FC78C0"/>
    <w:rsid w:val="00FD4F23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9AEB"/>
  <w15:docId w15:val="{7D132403-0B41-4E8D-8053-461AD0E2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5C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E1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337152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Normale"/>
    <w:rsid w:val="00590B63"/>
    <w:pPr>
      <w:suppressAutoHyphens/>
      <w:autoSpaceDN w:val="0"/>
      <w:spacing w:after="12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Belluzzi</dc:creator>
  <cp:lastModifiedBy>Katia Puttini</cp:lastModifiedBy>
  <cp:revision>6</cp:revision>
  <dcterms:created xsi:type="dcterms:W3CDTF">2021-12-16T09:10:00Z</dcterms:created>
  <dcterms:modified xsi:type="dcterms:W3CDTF">2022-12-27T17:08:00Z</dcterms:modified>
</cp:coreProperties>
</file>